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187</w:t>
      </w:r>
    </w:p>
    <w:p>
      <w:r>
        <w:t>Bundesgericht (BGE), 1993-08-04, FR</w:t>
      </w:r>
    </w:p>
    <w:p>
      <w:r>
        <w:rPr>
          <w:b/>
        </w:rPr>
        <w:t xml:space="preserve">Quelle: </w:t>
      </w:r>
      <w:r>
        <w:t>https://mcp.opencaselaw.ch/entscheid/bge_119 IV 187</w:t>
      </w:r>
    </w:p>
    <w:p>
      <w:r>
        <w:t>FR: ATF 119 IV 187</w:t>
      </w:r>
    </w:p>
    <w:p>
      <w:r>
        <w:t>IT: DTF 119 IV 187</w:t>
      </w:r>
    </w:p>
    <w:p>
      <w:pPr>
        <w:pStyle w:val="Heading2"/>
      </w:pPr>
      <w:r>
        <w:t>Regeste</w:t>
      </w:r>
    </w:p>
    <w:p>
      <w:r>
        <w:t>Regeste Art. 76 Abs. 3 BVG; Zweckentfremdung von Arbeitnehmerbeiträgen. Art. 76 Abs. 3 BVG ist wie Art. 87 Abs. 3 AHVG auszulegen (Beantwortung der in BGE 117 IV 82 offengelassenen Frage).</w:t>
      </w:r>
    </w:p>
    <w:p>
      <w:pPr>
        <w:pStyle w:val="Heading2"/>
      </w:pPr>
      <w:r>
        <w:t>Erwägungen</w:t>
      </w:r>
    </w:p>
    <w:p>
      <w:r>
        <w:rPr>
          <w:b/>
        </w:rPr>
        <w:t>E. 6</w:t>
      </w:r>
    </w:p>
    <w:p>
      <w:r>
        <w:t>Le défaut de versement des cotisations sociales porte également sur les sommes retenues sur le salaire des employés et destinées à la fondation de la prévoyance en faveur du personnel de l'entreprise. L'autorité cantonale a considéré que l' art. 76 al. 3 LPP , applicable dans cette hypothèse, obéissait aux mêmes principes que l' art. 87 al. 3 LAVS . Les recourants, dans leur pourvoi, tout en concluant à libération pour les motifs examinés plus haut, ne contestent pas ce point de vue. Quant à la jurisprudence, elle a pour l'instant laissé la question ouverte ( ATF 117 IV 78 précité). Pour le reste, si l'on examine les deux dispositions, on constate que l' art. 87 al. 3 et 6 LAVS correspond exactement (sauf le montant maximum de l'amende, doublé en 1972) à l'art. 92 al. 3 et 6 du projet soumis aux chambres en 1946 (FF 1946 II 575) et que selon le message lui-même (FF 1946 II 543), les dispositions pénales - de l'art. 92 notamment - ne donnaient pas lieu à commentaire, si ce n'est qu'elles correspondaient "au minimum strictement indispensable". Quant à l' art. 76 al. 3 et 6 LPP (art. 72 du projet, FF 1976 I 278), la seule référence qui y est faite, dans le message (FF 1976 I 238), est que les dispositions pénales ont été réduites au minimum. Or si ce n'est en ce qui concerne le cumul de l'emprisonnement et de l'amende, prévu dans la LAVS et non dans la LPP, les deux dispositions correspondent BGE 119 IV 187 S. 189 exactement, sous réserve des termes utilisés. Il s'en déduit qu'il n'existe aucune raison de distinguer entre les conditions de leur application, compte tenu de la similitude du but recherché et des difficultés pratiques qui résulteraient d'une application différenciée. Il s'ensuit que l'autorité cantonale n'a pas non plus violé le droit fédéral en considérant que l' art. 76 al. 3 LPP était applicable, ce qui du même coup justifie l'application au recourant V., et pour les motifs qu'elle a indiqués, de l' art. 159 CP . Ce recourant ne prétend d'ailleurs pas le contraire, puisqu'il fait seulement valoir que cette disposition ne saurait trouver application s'il devait être mis au bénéfice de l'état de nécessité en ce qui concerne les infractions aux art. 87 al. 3 LAVS et 76 al. 3 LPP. Le pourvoi doit ainsi être rejeté dans son entier.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